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154C4D">
      <w:pPr>
        <w:pStyle w:val="4"/>
        <w:keepNext w:val="0"/>
        <w:keepLines w:val="0"/>
        <w:pageBreakBefore w:val="0"/>
        <w:widowControl w:val="0"/>
        <w:kinsoku/>
        <w:wordWrap/>
        <w:overflowPunct/>
        <w:topLinePunct w:val="0"/>
        <w:autoSpaceDE w:val="0"/>
        <w:autoSpaceDN w:val="0"/>
        <w:bidi w:val="0"/>
        <w:adjustRightInd w:val="0"/>
        <w:snapToGrid/>
        <w:spacing w:line="600" w:lineRule="exact"/>
        <w:jc w:val="center"/>
        <w:textAlignment w:val="auto"/>
        <w:rPr>
          <w:rFonts w:hint="eastAsia" w:ascii="方正大标宋_GBK" w:hAnsi="方正大标宋_GBK" w:eastAsia="方正大标宋_GBK" w:cs="方正大标宋_GBK"/>
          <w:b w:val="0"/>
          <w:bCs/>
          <w:sz w:val="44"/>
          <w:szCs w:val="44"/>
          <w:lang w:val="en-US" w:eastAsia="zh-CN"/>
        </w:rPr>
      </w:pPr>
      <w:r>
        <w:rPr>
          <w:rFonts w:hint="eastAsia" w:ascii="方正大标宋_GBK" w:hAnsi="方正大标宋_GBK" w:eastAsia="方正大标宋_GBK" w:cs="方正大标宋_GBK"/>
          <w:b w:val="0"/>
          <w:bCs/>
          <w:sz w:val="44"/>
          <w:szCs w:val="44"/>
          <w:lang w:val="en-US" w:eastAsia="zh-CN"/>
        </w:rPr>
        <w:t>新晃侗族自治县应急管理局</w:t>
      </w:r>
    </w:p>
    <w:p w14:paraId="614C19FA">
      <w:pPr>
        <w:pStyle w:val="4"/>
        <w:keepNext w:val="0"/>
        <w:keepLines w:val="0"/>
        <w:pageBreakBefore w:val="0"/>
        <w:widowControl w:val="0"/>
        <w:kinsoku/>
        <w:wordWrap/>
        <w:overflowPunct/>
        <w:topLinePunct w:val="0"/>
        <w:autoSpaceDE w:val="0"/>
        <w:autoSpaceDN w:val="0"/>
        <w:bidi w:val="0"/>
        <w:adjustRightInd w:val="0"/>
        <w:snapToGrid/>
        <w:spacing w:line="600" w:lineRule="exact"/>
        <w:jc w:val="center"/>
        <w:textAlignment w:val="auto"/>
        <w:rPr>
          <w:rFonts w:hint="eastAsia" w:ascii="方正大标宋_GBK" w:hAnsi="方正大标宋_GBK" w:eastAsia="方正大标宋_GBK" w:cs="方正大标宋_GBK"/>
          <w:b w:val="0"/>
          <w:bCs/>
          <w:sz w:val="44"/>
          <w:szCs w:val="44"/>
        </w:rPr>
      </w:pPr>
      <w:r>
        <w:rPr>
          <w:rFonts w:hint="eastAsia" w:ascii="方正大标宋_GBK" w:hAnsi="方正大标宋_GBK" w:eastAsia="方正大标宋_GBK" w:cs="方正大标宋_GBK"/>
          <w:b w:val="0"/>
          <w:bCs/>
          <w:sz w:val="44"/>
          <w:szCs w:val="44"/>
        </w:rPr>
        <w:t>关于</w:t>
      </w:r>
      <w:r>
        <w:rPr>
          <w:rFonts w:hint="eastAsia" w:ascii="方正大标宋_GBK" w:hAnsi="方正大标宋_GBK" w:eastAsia="方正大标宋_GBK" w:cs="方正大标宋_GBK"/>
          <w:sz w:val="44"/>
          <w:szCs w:val="44"/>
        </w:rPr>
        <w:t>202</w:t>
      </w:r>
      <w:r>
        <w:rPr>
          <w:rFonts w:hint="eastAsia" w:ascii="方正大标宋_GBK" w:hAnsi="方正大标宋_GBK" w:eastAsia="方正大标宋_GBK" w:cs="方正大标宋_GBK"/>
          <w:sz w:val="44"/>
          <w:szCs w:val="44"/>
          <w:lang w:val="en-US" w:eastAsia="zh-CN"/>
        </w:rPr>
        <w:t>4</w:t>
      </w:r>
      <w:r>
        <w:rPr>
          <w:rFonts w:hint="eastAsia" w:ascii="方正大标宋_GBK" w:hAnsi="方正大标宋_GBK" w:eastAsia="方正大标宋_GBK" w:cs="方正大标宋_GBK"/>
          <w:b w:val="0"/>
          <w:bCs/>
          <w:sz w:val="44"/>
          <w:szCs w:val="44"/>
        </w:rPr>
        <w:t>年度</w:t>
      </w:r>
      <w:r>
        <w:rPr>
          <w:rFonts w:hint="eastAsia" w:ascii="方正大标宋_GBK" w:hAnsi="方正大标宋_GBK" w:eastAsia="方正大标宋_GBK" w:cs="方正大标宋_GBK"/>
          <w:b w:val="0"/>
          <w:bCs/>
          <w:sz w:val="44"/>
          <w:szCs w:val="44"/>
          <w:lang w:val="en-US" w:eastAsia="zh-CN"/>
        </w:rPr>
        <w:t>预</w:t>
      </w:r>
      <w:r>
        <w:rPr>
          <w:rFonts w:hint="eastAsia" w:ascii="方正大标宋_GBK" w:hAnsi="方正大标宋_GBK" w:eastAsia="方正大标宋_GBK" w:cs="方正大标宋_GBK"/>
          <w:b w:val="0"/>
          <w:bCs/>
          <w:sz w:val="44"/>
          <w:szCs w:val="44"/>
        </w:rPr>
        <w:t>算绩效情况的说明</w:t>
      </w:r>
    </w:p>
    <w:p w14:paraId="257D9EB6">
      <w:pPr>
        <w:rPr>
          <w:sz w:val="32"/>
          <w:szCs w:val="32"/>
        </w:rPr>
      </w:pPr>
    </w:p>
    <w:p w14:paraId="4B9CD697">
      <w:pPr>
        <w:pStyle w:val="4"/>
        <w:keepNext w:val="0"/>
        <w:keepLines w:val="0"/>
        <w:pageBreakBefore w:val="0"/>
        <w:widowControl w:val="0"/>
        <w:numPr>
          <w:ilvl w:val="0"/>
          <w:numId w:val="1"/>
        </w:numPr>
        <w:kinsoku/>
        <w:wordWrap/>
        <w:overflowPunct/>
        <w:topLinePunct w:val="0"/>
        <w:autoSpaceDE w:val="0"/>
        <w:autoSpaceDN w:val="0"/>
        <w:bidi w:val="0"/>
        <w:adjustRightInd w:val="0"/>
        <w:snapToGrid/>
        <w:spacing w:line="560" w:lineRule="exact"/>
        <w:ind w:firstLine="643" w:firstLineChars="200"/>
        <w:jc w:val="left"/>
        <w:textAlignment w:val="auto"/>
        <w:rPr>
          <w:rFonts w:hint="eastAsia" w:ascii="黑体" w:hAnsi="黑体" w:eastAsia="黑体" w:cs="黑体"/>
          <w:b/>
          <w:bCs/>
          <w:sz w:val="32"/>
          <w:szCs w:val="32"/>
          <w:lang w:eastAsia="zh-CN"/>
        </w:rPr>
      </w:pPr>
      <w:r>
        <w:rPr>
          <w:rFonts w:hint="eastAsia" w:ascii="黑体" w:hAnsi="黑体" w:eastAsia="黑体" w:cs="黑体"/>
          <w:b/>
          <w:bCs/>
          <w:sz w:val="32"/>
          <w:szCs w:val="32"/>
          <w:lang w:eastAsia="zh-CN"/>
        </w:rPr>
        <w:t>绩效管理工作开展情况</w:t>
      </w:r>
    </w:p>
    <w:p w14:paraId="67E137C5">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firstLine="643" w:firstLineChars="200"/>
        <w:jc w:val="left"/>
        <w:textAlignment w:val="auto"/>
        <w:rPr>
          <w:rFonts w:hint="default" w:ascii="楷体" w:hAnsi="楷体" w:eastAsia="楷体" w:cs="楷体"/>
          <w:b/>
          <w:bCs/>
          <w:sz w:val="32"/>
          <w:szCs w:val="32"/>
          <w:lang w:val="en-US" w:eastAsia="zh-CN"/>
        </w:rPr>
      </w:pPr>
      <w:r>
        <w:rPr>
          <w:rFonts w:hint="eastAsia" w:hAnsi="黑体" w:cs="黑体"/>
          <w:b/>
          <w:bCs/>
          <w:sz w:val="32"/>
          <w:szCs w:val="32"/>
          <w:lang w:val="en-US" w:eastAsia="zh-CN"/>
        </w:rPr>
        <w:t xml:space="preserve">    </w:t>
      </w:r>
      <w:r>
        <w:rPr>
          <w:rFonts w:hint="eastAsia" w:ascii="仿宋_GB2312" w:hAnsi="仿宋_GB2312" w:eastAsia="仿宋_GB2312" w:cs="仿宋_GB2312"/>
          <w:b w:val="0"/>
          <w:bCs w:val="0"/>
          <w:sz w:val="32"/>
          <w:szCs w:val="32"/>
          <w:lang w:val="en-US" w:eastAsia="zh-CN"/>
        </w:rPr>
        <w:t>根据新晃侗族自治县财政局《关于批复2024年度部门决算的通知》文件精神，我局财务人员按照要求认真开展数据核对，填报部门概况信息，针对部门的职能职责、机构设置及决算单位构成的内容逐项填写，预算绩效工作有序进行。</w:t>
      </w:r>
    </w:p>
    <w:p w14:paraId="0157170E">
      <w:pPr>
        <w:pStyle w:val="4"/>
        <w:keepNext w:val="0"/>
        <w:keepLines w:val="0"/>
        <w:pageBreakBefore w:val="0"/>
        <w:widowControl w:val="0"/>
        <w:kinsoku/>
        <w:wordWrap/>
        <w:overflowPunct/>
        <w:topLinePunct w:val="0"/>
        <w:autoSpaceDE w:val="0"/>
        <w:autoSpaceDN w:val="0"/>
        <w:bidi w:val="0"/>
        <w:adjustRightInd w:val="0"/>
        <w:snapToGrid/>
        <w:spacing w:line="560" w:lineRule="exact"/>
        <w:ind w:firstLine="643" w:firstLineChars="200"/>
        <w:jc w:val="left"/>
        <w:textAlignment w:val="auto"/>
        <w:rPr>
          <w:rFonts w:hint="eastAsia" w:ascii="黑体" w:hAnsi="黑体" w:eastAsia="黑体" w:cs="黑体"/>
          <w:b/>
          <w:bCs/>
          <w:sz w:val="32"/>
          <w:szCs w:val="32"/>
        </w:rPr>
      </w:pPr>
      <w:r>
        <w:rPr>
          <w:rFonts w:hint="eastAsia" w:ascii="黑体" w:hAnsi="黑体" w:eastAsia="黑体" w:cs="黑体"/>
          <w:b/>
          <w:bCs/>
          <w:sz w:val="32"/>
          <w:szCs w:val="32"/>
          <w:lang w:val="en-US" w:eastAsia="zh-CN"/>
        </w:rPr>
        <w:t>二、</w:t>
      </w:r>
      <w:r>
        <w:rPr>
          <w:rFonts w:hint="eastAsia" w:ascii="黑体" w:hAnsi="黑体" w:eastAsia="黑体" w:cs="黑体"/>
          <w:b/>
          <w:bCs/>
          <w:sz w:val="32"/>
          <w:szCs w:val="32"/>
        </w:rPr>
        <w:t>部门</w:t>
      </w:r>
      <w:r>
        <w:rPr>
          <w:rFonts w:hint="eastAsia" w:ascii="黑体" w:hAnsi="黑体" w:eastAsia="黑体" w:cs="黑体"/>
          <w:b/>
          <w:bCs/>
          <w:sz w:val="32"/>
          <w:szCs w:val="32"/>
          <w:lang w:eastAsia="zh-CN"/>
        </w:rPr>
        <w:t>（单位）</w:t>
      </w:r>
      <w:r>
        <w:rPr>
          <w:rFonts w:hint="eastAsia" w:ascii="黑体" w:hAnsi="黑体" w:eastAsia="黑体" w:cs="黑体"/>
          <w:b/>
          <w:bCs/>
          <w:sz w:val="32"/>
          <w:szCs w:val="32"/>
        </w:rPr>
        <w:t>整体支出绩效情况</w:t>
      </w:r>
    </w:p>
    <w:p w14:paraId="1452140A">
      <w:pPr>
        <w:pStyle w:val="4"/>
        <w:keepNext w:val="0"/>
        <w:keepLines w:val="0"/>
        <w:pageBreakBefore w:val="0"/>
        <w:widowControl w:val="0"/>
        <w:kinsoku/>
        <w:wordWrap/>
        <w:overflowPunct/>
        <w:topLinePunct w:val="0"/>
        <w:autoSpaceDE w:val="0"/>
        <w:autoSpaceDN w:val="0"/>
        <w:bidi w:val="0"/>
        <w:adjustRightInd w:val="0"/>
        <w:snapToGrid/>
        <w:spacing w:line="560" w:lineRule="exact"/>
        <w:ind w:firstLine="643" w:firstLineChars="200"/>
        <w:jc w:val="left"/>
        <w:textAlignment w:val="auto"/>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lang w:val="en-US" w:eastAsia="zh-CN"/>
        </w:rPr>
        <w:t>(一)2024年</w:t>
      </w:r>
      <w:r>
        <w:rPr>
          <w:rFonts w:hint="eastAsia" w:ascii="楷体_GB2312" w:hAnsi="楷体_GB2312" w:eastAsia="楷体_GB2312" w:cs="楷体_GB2312"/>
          <w:b/>
          <w:bCs/>
          <w:sz w:val="32"/>
          <w:szCs w:val="32"/>
        </w:rPr>
        <w:t>本部门（单位）支出的绩效目标完成情况</w:t>
      </w:r>
      <w:r>
        <w:rPr>
          <w:rFonts w:hint="eastAsia" w:ascii="楷体_GB2312" w:hAnsi="楷体_GB2312" w:eastAsia="楷体_GB2312" w:cs="楷体_GB2312"/>
          <w:b/>
          <w:bCs/>
          <w:sz w:val="32"/>
          <w:szCs w:val="32"/>
          <w:lang w:eastAsia="zh-CN"/>
        </w:rPr>
        <w:t>。</w:t>
      </w:r>
    </w:p>
    <w:p w14:paraId="48DB136B">
      <w:pPr>
        <w:pStyle w:val="4"/>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2024年</w:t>
      </w:r>
      <w:r>
        <w:rPr>
          <w:rFonts w:hint="eastAsia" w:ascii="仿宋_GB2312" w:hAnsi="仿宋_GB2312" w:eastAsia="仿宋_GB2312" w:cs="仿宋_GB2312"/>
          <w:sz w:val="32"/>
          <w:szCs w:val="32"/>
        </w:rPr>
        <w:t>本部门支出的</w:t>
      </w:r>
      <w:r>
        <w:rPr>
          <w:rFonts w:hint="eastAsia" w:ascii="仿宋_GB2312" w:hAnsi="仿宋_GB2312" w:eastAsia="仿宋_GB2312" w:cs="仿宋_GB2312"/>
          <w:sz w:val="32"/>
          <w:szCs w:val="32"/>
          <w:lang w:val="en-US" w:eastAsia="zh-CN"/>
        </w:rPr>
        <w:t>决算数为3158.01万元，年初预算数为591.68万元，完成年初预算433.74%。其中：</w:t>
      </w:r>
      <w:r>
        <w:rPr>
          <w:rFonts w:hint="default" w:ascii="仿宋" w:hAnsi="仿宋" w:eastAsia="仿宋" w:cs="仿宋"/>
          <w:color w:val="auto"/>
          <w:kern w:val="0"/>
          <w:sz w:val="32"/>
          <w:szCs w:val="32"/>
          <w:highlight w:val="none"/>
        </w:rPr>
        <w:t>社会保障和就业支出</w:t>
      </w:r>
      <w:r>
        <w:rPr>
          <w:rFonts w:hint="eastAsia" w:ascii="仿宋" w:hAnsi="仿宋" w:eastAsia="仿宋" w:cs="仿宋"/>
          <w:color w:val="auto"/>
          <w:kern w:val="0"/>
          <w:sz w:val="32"/>
          <w:szCs w:val="32"/>
          <w:highlight w:val="none"/>
          <w:lang w:val="en-US" w:eastAsia="zh-CN"/>
        </w:rPr>
        <w:t>469.015</w:t>
      </w:r>
      <w:r>
        <w:rPr>
          <w:rFonts w:hint="default" w:ascii="仿宋" w:hAnsi="仿宋" w:eastAsia="仿宋" w:cs="仿宋"/>
          <w:color w:val="auto"/>
          <w:kern w:val="0"/>
          <w:sz w:val="32"/>
          <w:szCs w:val="32"/>
          <w:highlight w:val="none"/>
        </w:rPr>
        <w:t>万元，卫生健康支出</w:t>
      </w:r>
      <w:r>
        <w:rPr>
          <w:rFonts w:hint="eastAsia" w:ascii="仿宋" w:hAnsi="仿宋" w:eastAsia="仿宋" w:cs="仿宋"/>
          <w:color w:val="auto"/>
          <w:kern w:val="0"/>
          <w:sz w:val="32"/>
          <w:szCs w:val="32"/>
          <w:highlight w:val="none"/>
          <w:lang w:val="en-US" w:eastAsia="zh-CN"/>
        </w:rPr>
        <w:t>18.895</w:t>
      </w:r>
      <w:r>
        <w:rPr>
          <w:rFonts w:hint="default" w:ascii="仿宋" w:hAnsi="仿宋" w:eastAsia="仿宋" w:cs="仿宋"/>
          <w:color w:val="auto"/>
          <w:kern w:val="0"/>
          <w:sz w:val="32"/>
          <w:szCs w:val="32"/>
          <w:highlight w:val="none"/>
        </w:rPr>
        <w:t>万元，灾害防治及应急管理支出</w:t>
      </w:r>
      <w:r>
        <w:rPr>
          <w:rFonts w:hint="eastAsia" w:ascii="仿宋" w:hAnsi="仿宋" w:eastAsia="仿宋" w:cs="仿宋"/>
          <w:color w:val="auto"/>
          <w:kern w:val="0"/>
          <w:sz w:val="32"/>
          <w:szCs w:val="32"/>
          <w:highlight w:val="none"/>
          <w:lang w:val="en-US" w:eastAsia="zh-CN"/>
        </w:rPr>
        <w:t>3050.1458</w:t>
      </w:r>
      <w:r>
        <w:rPr>
          <w:rFonts w:hint="default" w:ascii="仿宋" w:hAnsi="仿宋" w:eastAsia="仿宋" w:cs="仿宋"/>
          <w:color w:val="auto"/>
          <w:kern w:val="0"/>
          <w:sz w:val="32"/>
          <w:szCs w:val="32"/>
          <w:highlight w:val="none"/>
        </w:rPr>
        <w:t>万元</w:t>
      </w:r>
      <w:r>
        <w:rPr>
          <w:rFonts w:hint="eastAsia" w:ascii="仿宋" w:hAnsi="仿宋" w:eastAsia="仿宋" w:cs="仿宋"/>
          <w:color w:val="auto"/>
          <w:kern w:val="0"/>
          <w:sz w:val="32"/>
          <w:szCs w:val="32"/>
          <w:highlight w:val="none"/>
          <w:lang w:eastAsia="zh-CN"/>
        </w:rPr>
        <w:t>，住房保障支出</w:t>
      </w:r>
      <w:r>
        <w:rPr>
          <w:rFonts w:hint="eastAsia" w:ascii="仿宋" w:hAnsi="仿宋" w:eastAsia="仿宋" w:cs="仿宋"/>
          <w:color w:val="auto"/>
          <w:kern w:val="0"/>
          <w:sz w:val="32"/>
          <w:szCs w:val="32"/>
          <w:highlight w:val="none"/>
          <w:lang w:val="en-US" w:eastAsia="zh-CN"/>
        </w:rPr>
        <w:t>42.0771</w:t>
      </w:r>
      <w:r>
        <w:rPr>
          <w:rFonts w:hint="eastAsia" w:ascii="仿宋" w:hAnsi="仿宋" w:eastAsia="仿宋" w:cs="仿宋"/>
          <w:color w:val="auto"/>
          <w:kern w:val="0"/>
          <w:sz w:val="32"/>
          <w:szCs w:val="32"/>
          <w:highlight w:val="none"/>
          <w:lang w:eastAsia="zh-CN"/>
        </w:rPr>
        <w:t>万元</w:t>
      </w:r>
    </w:p>
    <w:p w14:paraId="65A7AEC5">
      <w:pPr>
        <w:pStyle w:val="4"/>
        <w:keepNext w:val="0"/>
        <w:keepLines w:val="0"/>
        <w:pageBreakBefore w:val="0"/>
        <w:widowControl w:val="0"/>
        <w:kinsoku/>
        <w:wordWrap/>
        <w:overflowPunct/>
        <w:topLinePunct w:val="0"/>
        <w:autoSpaceDE w:val="0"/>
        <w:autoSpaceDN w:val="0"/>
        <w:bidi w:val="0"/>
        <w:adjustRightInd w:val="0"/>
        <w:snapToGrid/>
        <w:spacing w:line="560" w:lineRule="exact"/>
        <w:ind w:firstLine="643" w:firstLineChars="200"/>
        <w:jc w:val="left"/>
        <w:textAlignment w:val="auto"/>
        <w:rPr>
          <w:rFonts w:hint="eastAsia" w:ascii="仿宋_GB2312" w:hAnsi="仿宋_GB2312" w:eastAsia="仿宋_GB2312" w:cs="仿宋_GB2312"/>
          <w:color w:val="000000"/>
          <w:kern w:val="0"/>
          <w:sz w:val="32"/>
          <w:szCs w:val="32"/>
        </w:rPr>
      </w:pPr>
      <w:r>
        <w:rPr>
          <w:rFonts w:hint="eastAsia" w:ascii="楷体_GB2312" w:hAnsi="楷体_GB2312" w:eastAsia="楷体_GB2312" w:cs="楷体_GB2312"/>
          <w:b/>
          <w:bCs/>
          <w:color w:val="000000"/>
          <w:kern w:val="0"/>
          <w:sz w:val="32"/>
          <w:szCs w:val="32"/>
          <w:lang w:eastAsia="zh-CN"/>
        </w:rPr>
        <w:t>（</w:t>
      </w:r>
      <w:r>
        <w:rPr>
          <w:rFonts w:hint="eastAsia" w:ascii="楷体_GB2312" w:hAnsi="楷体_GB2312" w:eastAsia="楷体_GB2312" w:cs="楷体_GB2312"/>
          <w:b/>
          <w:bCs/>
          <w:color w:val="000000"/>
          <w:kern w:val="0"/>
          <w:sz w:val="32"/>
          <w:szCs w:val="32"/>
          <w:lang w:val="en-US" w:eastAsia="zh-CN"/>
        </w:rPr>
        <w:t>二</w:t>
      </w:r>
      <w:r>
        <w:rPr>
          <w:rFonts w:hint="eastAsia" w:ascii="楷体_GB2312" w:hAnsi="楷体_GB2312" w:eastAsia="楷体_GB2312" w:cs="楷体_GB2312"/>
          <w:b/>
          <w:bCs/>
          <w:color w:val="000000"/>
          <w:kern w:val="0"/>
          <w:sz w:val="32"/>
          <w:szCs w:val="32"/>
          <w:lang w:eastAsia="zh-CN"/>
        </w:rPr>
        <w:t>）</w:t>
      </w:r>
      <w:r>
        <w:rPr>
          <w:rFonts w:hint="eastAsia" w:ascii="楷体_GB2312" w:hAnsi="楷体_GB2312" w:eastAsia="楷体_GB2312" w:cs="楷体_GB2312"/>
          <w:b/>
          <w:bCs/>
          <w:color w:val="000000"/>
          <w:kern w:val="0"/>
          <w:sz w:val="32"/>
          <w:szCs w:val="32"/>
        </w:rPr>
        <w:t>项目绩效目标完成情况：</w:t>
      </w:r>
    </w:p>
    <w:p w14:paraId="277953C8">
      <w:pPr>
        <w:pStyle w:val="4"/>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根据年初设定的绩效目标，整体绩效</w:t>
      </w:r>
      <w:r>
        <w:rPr>
          <w:rFonts w:hint="eastAsia" w:ascii="仿宋_GB2312" w:hAnsi="仿宋_GB2312" w:eastAsia="仿宋_GB2312" w:cs="仿宋_GB2312"/>
          <w:color w:val="000000"/>
          <w:kern w:val="0"/>
          <w:sz w:val="32"/>
          <w:szCs w:val="32"/>
          <w:lang w:eastAsia="zh-CN"/>
        </w:rPr>
        <w:t>自评得分</w:t>
      </w:r>
      <w:r>
        <w:rPr>
          <w:rFonts w:hint="eastAsia" w:ascii="仿宋_GB2312" w:hAnsi="仿宋_GB2312" w:eastAsia="仿宋_GB2312" w:cs="仿宋_GB2312"/>
          <w:color w:val="000000"/>
          <w:kern w:val="0"/>
          <w:sz w:val="32"/>
          <w:szCs w:val="32"/>
          <w:lang w:val="en-US" w:eastAsia="zh-CN"/>
        </w:rPr>
        <w:t>92</w:t>
      </w:r>
      <w:r>
        <w:rPr>
          <w:rFonts w:hint="eastAsia" w:ascii="仿宋_GB2312" w:hAnsi="仿宋_GB2312" w:eastAsia="仿宋_GB2312" w:cs="仿宋_GB2312"/>
          <w:color w:val="000000"/>
          <w:kern w:val="0"/>
          <w:sz w:val="32"/>
          <w:szCs w:val="32"/>
          <w:lang w:eastAsia="zh-CN"/>
        </w:rPr>
        <w:t>分。</w:t>
      </w:r>
      <w:r>
        <w:rPr>
          <w:rFonts w:hint="eastAsia" w:ascii="仿宋_GB2312" w:hAnsi="仿宋_GB2312" w:eastAsia="仿宋_GB2312" w:cs="仿宋_GB2312"/>
          <w:color w:val="000000"/>
          <w:kern w:val="0"/>
          <w:sz w:val="32"/>
          <w:szCs w:val="32"/>
          <w:lang w:val="en-US" w:eastAsia="zh-CN"/>
        </w:rPr>
        <w:t>项目全年预算数为3158.01万元，执行数3158.01万元，完成绩效目标的100%。</w:t>
      </w:r>
    </w:p>
    <w:p w14:paraId="120C380C">
      <w:pPr>
        <w:pStyle w:val="4"/>
        <w:keepNext w:val="0"/>
        <w:keepLines w:val="0"/>
        <w:pageBreakBefore w:val="0"/>
        <w:widowControl w:val="0"/>
        <w:kinsoku/>
        <w:wordWrap/>
        <w:overflowPunct/>
        <w:topLinePunct w:val="0"/>
        <w:autoSpaceDE w:val="0"/>
        <w:autoSpaceDN w:val="0"/>
        <w:bidi w:val="0"/>
        <w:adjustRightInd w:val="0"/>
        <w:snapToGrid/>
        <w:spacing w:line="560" w:lineRule="exact"/>
        <w:ind w:firstLine="643"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项目绩效完成情况</w:t>
      </w:r>
      <w:r>
        <w:rPr>
          <w:rFonts w:hint="eastAsia" w:ascii="仿宋_GB2312" w:hAnsi="仿宋_GB2312" w:eastAsia="仿宋_GB2312" w:cs="仿宋_GB2312"/>
          <w:b w:val="0"/>
          <w:bCs w:val="0"/>
          <w:sz w:val="32"/>
          <w:szCs w:val="32"/>
          <w:lang w:val="en-US" w:eastAsia="zh-CN"/>
        </w:rPr>
        <w:t>：</w:t>
      </w:r>
    </w:p>
    <w:p w14:paraId="37A670B9">
      <w:pPr>
        <w:pStyle w:val="4"/>
        <w:keepNext w:val="0"/>
        <w:keepLines w:val="0"/>
        <w:pageBreakBefore w:val="0"/>
        <w:widowControl w:val="0"/>
        <w:kinsoku/>
        <w:wordWrap/>
        <w:overflowPunct/>
        <w:topLinePunct w:val="0"/>
        <w:autoSpaceDE w:val="0"/>
        <w:autoSpaceDN w:val="0"/>
        <w:bidi w:val="0"/>
        <w:adjustRightInd w:val="0"/>
        <w:snapToGrid/>
        <w:spacing w:line="560" w:lineRule="exact"/>
        <w:ind w:firstLine="643"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rPr>
        <w:t>①收入</w:t>
      </w:r>
      <w:r>
        <w:rPr>
          <w:rFonts w:hint="eastAsia" w:ascii="仿宋_GB2312" w:hAnsi="仿宋_GB2312" w:eastAsia="仿宋_GB2312" w:cs="仿宋_GB2312"/>
          <w:b/>
          <w:bCs/>
          <w:sz w:val="32"/>
          <w:szCs w:val="32"/>
          <w:lang w:val="en-US" w:eastAsia="zh-CN"/>
        </w:rPr>
        <w:t>方面</w:t>
      </w:r>
      <w:r>
        <w:rPr>
          <w:rFonts w:hint="eastAsia" w:ascii="仿宋_GB2312" w:hAnsi="仿宋_GB2312" w:eastAsia="仿宋_GB2312" w:cs="仿宋_GB2312"/>
          <w:sz w:val="32"/>
          <w:szCs w:val="32"/>
          <w:lang w:val="en-US" w:eastAsia="zh-CN"/>
        </w:rPr>
        <w:t>：2024年度决算</w:t>
      </w:r>
      <w:r>
        <w:rPr>
          <w:rFonts w:hint="eastAsia" w:ascii="仿宋_GB2312" w:hAnsi="仿宋_GB2312" w:eastAsia="仿宋_GB2312" w:cs="仿宋_GB2312"/>
          <w:sz w:val="32"/>
          <w:szCs w:val="32"/>
        </w:rPr>
        <w:t>数为</w:t>
      </w:r>
      <w:r>
        <w:rPr>
          <w:rFonts w:hint="eastAsia" w:ascii="仿宋_GB2312" w:hAnsi="仿宋_GB2312" w:eastAsia="仿宋_GB2312" w:cs="仿宋_GB2312"/>
          <w:sz w:val="32"/>
          <w:szCs w:val="32"/>
          <w:lang w:val="en-US" w:eastAsia="zh-CN"/>
        </w:rPr>
        <w:t>3158.01</w:t>
      </w:r>
      <w:r>
        <w:rPr>
          <w:rFonts w:hint="eastAsia" w:ascii="仿宋_GB2312" w:hAnsi="仿宋_GB2312" w:eastAsia="仿宋_GB2312" w:cs="仿宋_GB2312"/>
          <w:sz w:val="32"/>
          <w:szCs w:val="32"/>
        </w:rPr>
        <w:t>万元，比年初预算</w:t>
      </w:r>
      <w:r>
        <w:rPr>
          <w:rFonts w:hint="eastAsia" w:ascii="仿宋_GB2312" w:hAnsi="仿宋_GB2312" w:eastAsia="仿宋_GB2312" w:cs="仿宋_GB2312"/>
          <w:sz w:val="32"/>
          <w:szCs w:val="32"/>
          <w:lang w:val="en-US" w:eastAsia="zh-CN"/>
        </w:rPr>
        <w:t>数591.68</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增加2566.33万元增长183.85%.是省市 自然灾害救灾及恢复重建项目和国债项目款增加。</w:t>
      </w:r>
    </w:p>
    <w:p w14:paraId="64EF068D">
      <w:pPr>
        <w:pStyle w:val="4"/>
        <w:keepNext w:val="0"/>
        <w:keepLines w:val="0"/>
        <w:pageBreakBefore w:val="0"/>
        <w:widowControl w:val="0"/>
        <w:kinsoku/>
        <w:wordWrap/>
        <w:overflowPunct/>
        <w:topLinePunct w:val="0"/>
        <w:autoSpaceDE w:val="0"/>
        <w:autoSpaceDN w:val="0"/>
        <w:bidi w:val="0"/>
        <w:adjustRightInd w:val="0"/>
        <w:snapToGrid/>
        <w:spacing w:line="560" w:lineRule="exact"/>
        <w:ind w:firstLine="643" w:firstLineChars="200"/>
        <w:jc w:val="left"/>
        <w:textAlignment w:val="auto"/>
        <w:rPr>
          <w:rFonts w:hint="eastAsia" w:ascii="Times New Roman" w:hAnsi="Times New Roman" w:eastAsia="仿宋_GB2312"/>
          <w:sz w:val="32"/>
          <w:szCs w:val="32"/>
        </w:rPr>
      </w:pPr>
      <w:r>
        <w:rPr>
          <w:rFonts w:hint="eastAsia" w:ascii="仿宋_GB2312" w:hAnsi="仿宋_GB2312" w:eastAsia="仿宋_GB2312" w:cs="仿宋_GB2312"/>
          <w:b/>
          <w:bCs/>
          <w:color w:val="000000"/>
          <w:kern w:val="0"/>
          <w:sz w:val="32"/>
          <w:szCs w:val="32"/>
          <w:lang w:val="en-US" w:eastAsia="zh-CN"/>
        </w:rPr>
        <w:t>②支出方面</w:t>
      </w:r>
      <w:r>
        <w:rPr>
          <w:rFonts w:hint="eastAsia" w:ascii="仿宋_GB2312" w:hAnsi="仿宋_GB2312" w:eastAsia="仿宋_GB2312" w:cs="仿宋_GB2312"/>
          <w:b w:val="0"/>
          <w:bCs w:val="0"/>
          <w:color w:val="000000"/>
          <w:kern w:val="0"/>
          <w:sz w:val="32"/>
          <w:szCs w:val="32"/>
          <w:lang w:val="en-US" w:eastAsia="zh-CN"/>
        </w:rPr>
        <w:t>：</w:t>
      </w:r>
      <w:r>
        <w:rPr>
          <w:rFonts w:hint="eastAsia" w:ascii="仿宋_GB2312" w:hAnsi="仿宋_GB2312" w:eastAsia="仿宋_GB2312" w:cs="仿宋_GB2312"/>
          <w:color w:val="000000"/>
          <w:kern w:val="0"/>
          <w:sz w:val="32"/>
          <w:szCs w:val="32"/>
          <w:lang w:val="en-US" w:eastAsia="zh-CN"/>
        </w:rPr>
        <w:t>2024年支出决算数3158.01万：其中：</w:t>
      </w:r>
      <w:r>
        <w:rPr>
          <w:rFonts w:hint="eastAsia" w:ascii="仿宋_GB2312" w:hAnsi="宋体" w:eastAsia="仿宋_GB2312"/>
          <w:sz w:val="32"/>
          <w:szCs w:val="32"/>
        </w:rPr>
        <w:t>基本支出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738.45</w:t>
      </w:r>
      <w:r>
        <w:rPr>
          <w:rFonts w:hint="eastAsia" w:ascii="仿宋_GB2312" w:hAnsi="宋体" w:eastAsia="仿宋_GB2312"/>
          <w:sz w:val="32"/>
          <w:szCs w:val="32"/>
        </w:rPr>
        <w:t>元</w:t>
      </w:r>
      <w:r>
        <w:rPr>
          <w:rFonts w:hint="eastAsia" w:ascii="仿宋_GB2312" w:hAnsi="宋体" w:eastAsia="仿宋_GB2312"/>
          <w:sz w:val="32"/>
          <w:szCs w:val="32"/>
          <w:lang w:eastAsia="zh-CN"/>
        </w:rPr>
        <w:t>（</w:t>
      </w:r>
      <w:r>
        <w:rPr>
          <w:rFonts w:hint="eastAsia" w:ascii="仿宋_GB2312" w:hAnsi="宋体" w:eastAsia="仿宋_GB2312" w:cs="宋体"/>
          <w:kern w:val="0"/>
          <w:sz w:val="32"/>
          <w:szCs w:val="32"/>
        </w:rPr>
        <w:t>人员经费</w:t>
      </w:r>
      <w:r>
        <w:rPr>
          <w:rFonts w:hint="eastAsia" w:ascii="仿宋_GB2312" w:hAnsi="宋体" w:eastAsia="仿宋_GB2312" w:cs="宋体"/>
          <w:kern w:val="0"/>
          <w:sz w:val="32"/>
          <w:szCs w:val="32"/>
          <w:lang w:val="en-US" w:eastAsia="zh-CN"/>
        </w:rPr>
        <w:t>472.4</w:t>
      </w:r>
      <w:r>
        <w:rPr>
          <w:rFonts w:hint="eastAsia" w:ascii="仿宋_GB2312" w:hAnsi="宋体" w:eastAsia="仿宋_GB2312" w:cs="宋体"/>
          <w:kern w:val="0"/>
          <w:sz w:val="32"/>
          <w:szCs w:val="32"/>
        </w:rPr>
        <w:t>万元，公用经费</w:t>
      </w:r>
      <w:r>
        <w:rPr>
          <w:rFonts w:hint="eastAsia" w:ascii="仿宋_GB2312" w:hAnsi="宋体" w:eastAsia="仿宋_GB2312" w:cs="宋体"/>
          <w:kern w:val="0"/>
          <w:sz w:val="32"/>
          <w:szCs w:val="32"/>
          <w:lang w:val="en-US" w:eastAsia="zh-CN"/>
        </w:rPr>
        <w:t>266.05</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w:t>
      </w:r>
      <w:r>
        <w:rPr>
          <w:rFonts w:hint="eastAsia" w:ascii="仿宋_GB2312" w:hAnsi="宋体" w:eastAsia="仿宋_GB2312"/>
          <w:sz w:val="32"/>
          <w:szCs w:val="32"/>
        </w:rPr>
        <w:t>占</w:t>
      </w:r>
      <w:r>
        <w:rPr>
          <w:rFonts w:hint="eastAsia" w:ascii="仿宋_GB2312" w:hAnsi="宋体" w:eastAsia="仿宋_GB2312"/>
          <w:sz w:val="32"/>
          <w:szCs w:val="32"/>
          <w:lang w:val="en-US" w:eastAsia="zh-CN"/>
        </w:rPr>
        <w:t>23.38</w:t>
      </w:r>
      <w:r>
        <w:rPr>
          <w:rFonts w:hint="eastAsia" w:ascii="仿宋_GB2312" w:hAnsi="宋体" w:eastAsia="仿宋_GB2312"/>
          <w:sz w:val="32"/>
          <w:szCs w:val="32"/>
        </w:rPr>
        <w:t>%</w:t>
      </w:r>
      <w:r>
        <w:rPr>
          <w:rFonts w:hint="eastAsia" w:ascii="仿宋_GB2312" w:hAnsi="宋体" w:eastAsia="仿宋_GB2312"/>
          <w:sz w:val="32"/>
          <w:szCs w:val="32"/>
          <w:lang w:val="en-US" w:eastAsia="zh-CN"/>
        </w:rPr>
        <w:t>；</w:t>
      </w:r>
      <w:r>
        <w:rPr>
          <w:rFonts w:hint="eastAsia" w:ascii="仿宋_GB2312" w:hAnsi="宋体" w:eastAsia="仿宋_GB2312" w:cs="宋体"/>
          <w:kern w:val="0"/>
          <w:sz w:val="32"/>
          <w:szCs w:val="32"/>
          <w:lang w:eastAsia="zh-CN"/>
        </w:rPr>
        <w:t>项目支出：</w:t>
      </w:r>
      <w:r>
        <w:rPr>
          <w:rFonts w:hint="eastAsia" w:ascii="仿宋_GB2312" w:hAnsi="宋体" w:eastAsia="仿宋_GB2312" w:cs="宋体"/>
          <w:kern w:val="0"/>
          <w:sz w:val="32"/>
          <w:szCs w:val="32"/>
          <w:lang w:val="en-US" w:eastAsia="zh-CN"/>
        </w:rPr>
        <w:t xml:space="preserve">2419.56万元 </w:t>
      </w:r>
      <w:r>
        <w:rPr>
          <w:rFonts w:hint="eastAsia" w:ascii="仿宋_GB2312" w:hAnsi="宋体" w:eastAsia="仿宋_GB2312"/>
          <w:sz w:val="32"/>
          <w:szCs w:val="32"/>
        </w:rPr>
        <w:t>占</w:t>
      </w:r>
      <w:r>
        <w:rPr>
          <w:rFonts w:hint="eastAsia" w:ascii="仿宋_GB2312" w:hAnsi="宋体" w:eastAsia="仿宋_GB2312"/>
          <w:sz w:val="32"/>
          <w:szCs w:val="32"/>
          <w:lang w:val="en-US" w:eastAsia="zh-CN"/>
        </w:rPr>
        <w:t>76.62</w:t>
      </w:r>
      <w:r>
        <w:rPr>
          <w:rFonts w:hint="eastAsia" w:ascii="仿宋_GB2312" w:hAnsi="宋体" w:eastAsia="仿宋_GB2312"/>
          <w:sz w:val="32"/>
          <w:szCs w:val="32"/>
        </w:rPr>
        <w:t>%；</w:t>
      </w:r>
      <w:r>
        <w:rPr>
          <w:rFonts w:hint="eastAsia" w:ascii="仿宋_GB2312" w:hAnsi="宋体" w:eastAsia="仿宋_GB2312"/>
          <w:sz w:val="32"/>
          <w:szCs w:val="32"/>
          <w:lang w:eastAsia="zh-CN"/>
        </w:rPr>
        <w:t>按经济分类支出</w:t>
      </w:r>
      <w:r>
        <w:rPr>
          <w:rFonts w:hint="eastAsia" w:ascii="仿宋_GB2312" w:hAnsi="仿宋_GB2312" w:eastAsia="仿宋_GB2312" w:cs="仿宋_GB2312"/>
          <w:color w:val="000000"/>
          <w:kern w:val="0"/>
          <w:sz w:val="32"/>
          <w:szCs w:val="32"/>
          <w:lang w:val="en-US" w:eastAsia="zh-CN"/>
        </w:rPr>
        <w:t>工资福利支出443.33万元，占总支出的14.03%，商品和服务支出530.99万元，占支出总的16.81%，对个人和家庭的补助59.09万元，占总支出的1.87%，</w:t>
      </w:r>
      <w:r>
        <w:rPr>
          <w:rFonts w:hint="eastAsia" w:ascii="仿宋_GB2312" w:hAnsi="仿宋_GB2312" w:eastAsia="仿宋_GB2312" w:cs="仿宋_GB2312"/>
          <w:color w:val="000000"/>
          <w:kern w:val="0"/>
          <w:sz w:val="32"/>
          <w:szCs w:val="32"/>
          <w:lang w:val="en-US" w:eastAsia="zh-CN"/>
        </w:rPr>
        <w:t>资本性</w:t>
      </w:r>
      <w:r>
        <w:rPr>
          <w:rFonts w:hint="eastAsia" w:ascii="仿宋_GB2312" w:hAnsi="仿宋_GB2312" w:eastAsia="仿宋_GB2312" w:cs="仿宋_GB2312"/>
          <w:color w:val="000000"/>
          <w:kern w:val="0"/>
          <w:sz w:val="32"/>
          <w:szCs w:val="32"/>
          <w:lang w:val="en-US" w:eastAsia="zh-CN"/>
        </w:rPr>
        <w:t>支出31.59万元，占总支出的1.0%；其他</w:t>
      </w:r>
      <w:r>
        <w:rPr>
          <w:rFonts w:hint="eastAsia" w:ascii="仿宋_GB2312" w:hAnsi="仿宋_GB2312" w:eastAsia="仿宋_GB2312" w:cs="仿宋_GB2312"/>
          <w:color w:val="000000"/>
          <w:kern w:val="0"/>
          <w:sz w:val="32"/>
          <w:szCs w:val="32"/>
          <w:lang w:val="en-US" w:eastAsia="zh-CN"/>
        </w:rPr>
        <w:t>资本性支出2093.01万元，占总支出的66.29 %。</w:t>
      </w:r>
      <w:bookmarkStart w:id="0" w:name="_GoBack"/>
      <w:bookmarkEnd w:id="0"/>
    </w:p>
    <w:p w14:paraId="3BAE097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3" w:firstLineChars="200"/>
        <w:jc w:val="left"/>
        <w:textAlignment w:val="auto"/>
        <w:rPr>
          <w:rFonts w:hint="default"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b/>
          <w:bCs/>
          <w:color w:val="000000"/>
          <w:kern w:val="0"/>
          <w:sz w:val="32"/>
          <w:szCs w:val="32"/>
          <w:lang w:val="en-US" w:eastAsia="zh-CN"/>
        </w:rPr>
        <w:t>③年末固定资产总额</w:t>
      </w:r>
      <w:r>
        <w:rPr>
          <w:rFonts w:hint="eastAsia" w:ascii="仿宋_GB2312" w:hAnsi="仿宋_GB2312" w:eastAsia="仿宋_GB2312" w:cs="仿宋_GB2312"/>
          <w:b w:val="0"/>
          <w:bCs w:val="0"/>
          <w:color w:val="000000"/>
          <w:kern w:val="0"/>
          <w:sz w:val="32"/>
          <w:szCs w:val="32"/>
          <w:lang w:val="en-US" w:eastAsia="zh-CN"/>
        </w:rPr>
        <w:t>505.75万元</w:t>
      </w:r>
      <w:r>
        <w:rPr>
          <w:rFonts w:hint="eastAsia" w:ascii="仿宋_GB2312" w:hAnsi="仿宋_GB2312" w:eastAsia="仿宋_GB2312" w:cs="仿宋_GB2312"/>
          <w:color w:val="000000"/>
          <w:kern w:val="0"/>
          <w:sz w:val="32"/>
          <w:szCs w:val="32"/>
          <w:lang w:val="en-US" w:eastAsia="zh-CN"/>
        </w:rPr>
        <w:t>：其中：房屋0万元，通用设备</w:t>
      </w:r>
      <w:r>
        <w:rPr>
          <w:rFonts w:hint="eastAsia" w:ascii="仿宋_GB2312" w:hAnsi="仿宋_GB2312" w:eastAsia="仿宋_GB2312" w:cs="仿宋_GB2312"/>
          <w:color w:val="000000"/>
          <w:kern w:val="0"/>
          <w:sz w:val="32"/>
          <w:szCs w:val="32"/>
          <w:u w:val="none"/>
          <w:lang w:val="en-US" w:eastAsia="zh-CN"/>
        </w:rPr>
        <w:t>484.49</w:t>
      </w:r>
      <w:r>
        <w:rPr>
          <w:rFonts w:hint="eastAsia" w:ascii="仿宋_GB2312" w:hAnsi="仿宋_GB2312" w:eastAsia="仿宋_GB2312" w:cs="仿宋_GB2312"/>
          <w:color w:val="000000"/>
          <w:kern w:val="0"/>
          <w:sz w:val="32"/>
          <w:szCs w:val="32"/>
          <w:lang w:val="en-US" w:eastAsia="zh-CN"/>
        </w:rPr>
        <w:t>万元，家具和用具</w:t>
      </w:r>
      <w:r>
        <w:rPr>
          <w:rFonts w:hint="eastAsia" w:ascii="仿宋_GB2312" w:hAnsi="仿宋_GB2312" w:eastAsia="仿宋_GB2312" w:cs="仿宋_GB2312"/>
          <w:color w:val="000000"/>
          <w:kern w:val="0"/>
          <w:sz w:val="32"/>
          <w:szCs w:val="32"/>
          <w:u w:val="none"/>
          <w:lang w:val="en-US" w:eastAsia="zh-CN"/>
        </w:rPr>
        <w:t>21.26</w:t>
      </w:r>
      <w:r>
        <w:rPr>
          <w:rFonts w:hint="eastAsia" w:ascii="仿宋_GB2312" w:hAnsi="仿宋_GB2312" w:eastAsia="仿宋_GB2312" w:cs="仿宋_GB2312"/>
          <w:color w:val="000000"/>
          <w:kern w:val="0"/>
          <w:sz w:val="32"/>
          <w:szCs w:val="32"/>
          <w:lang w:val="en-US" w:eastAsia="zh-CN"/>
        </w:rPr>
        <w:t>万元</w:t>
      </w:r>
    </w:p>
    <w:p w14:paraId="69B85EA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3" w:firstLineChars="200"/>
        <w:jc w:val="left"/>
        <w:textAlignment w:val="auto"/>
        <w:rPr>
          <w:rFonts w:hint="default"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b/>
          <w:bCs/>
          <w:color w:val="000000"/>
          <w:kern w:val="0"/>
          <w:sz w:val="32"/>
          <w:szCs w:val="32"/>
          <w:lang w:val="en-US" w:eastAsia="zh-CN"/>
        </w:rPr>
        <w:t>④“三公”经费</w:t>
      </w:r>
      <w:r>
        <w:rPr>
          <w:rFonts w:hint="eastAsia" w:ascii="仿宋_GB2312" w:hAnsi="仿宋_GB2312" w:eastAsia="仿宋_GB2312" w:cs="仿宋_GB2312"/>
          <w:color w:val="000000"/>
          <w:kern w:val="0"/>
          <w:sz w:val="32"/>
          <w:szCs w:val="32"/>
          <w:lang w:val="en-US" w:eastAsia="zh-CN"/>
        </w:rPr>
        <w:t>：年初预算数4万元，决算执行数1.28万元，节约开支2.72万元，占预算的32%。</w:t>
      </w:r>
    </w:p>
    <w:p w14:paraId="0ECF2833">
      <w:pPr>
        <w:pStyle w:val="4"/>
        <w:keepNext w:val="0"/>
        <w:keepLines w:val="0"/>
        <w:pageBreakBefore w:val="0"/>
        <w:widowControl w:val="0"/>
        <w:kinsoku/>
        <w:wordWrap/>
        <w:overflowPunct/>
        <w:topLinePunct w:val="0"/>
        <w:autoSpaceDE w:val="0"/>
        <w:autoSpaceDN w:val="0"/>
        <w:bidi w:val="0"/>
        <w:adjustRightInd w:val="0"/>
        <w:snapToGrid/>
        <w:spacing w:line="560" w:lineRule="exact"/>
        <w:ind w:firstLine="643"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w:t>
      </w:r>
      <w:r>
        <w:rPr>
          <w:rFonts w:hint="eastAsia" w:ascii="楷体" w:hAnsi="楷体" w:eastAsia="楷体" w:cs="楷体"/>
          <w:b/>
          <w:bCs/>
          <w:sz w:val="32"/>
          <w:szCs w:val="32"/>
          <w:lang w:eastAsia="zh-CN"/>
        </w:rPr>
        <w:t>、</w:t>
      </w:r>
      <w:r>
        <w:rPr>
          <w:rFonts w:hint="eastAsia" w:ascii="楷体" w:hAnsi="楷体" w:eastAsia="楷体" w:cs="楷体"/>
          <w:b/>
          <w:bCs/>
          <w:sz w:val="32"/>
          <w:szCs w:val="32"/>
        </w:rPr>
        <w:t>原因</w:t>
      </w:r>
      <w:r>
        <w:rPr>
          <w:rFonts w:hint="eastAsia" w:ascii="楷体" w:hAnsi="楷体" w:eastAsia="楷体" w:cs="楷体"/>
          <w:b/>
          <w:bCs/>
          <w:sz w:val="32"/>
          <w:szCs w:val="32"/>
          <w:lang w:val="en-US" w:eastAsia="zh-CN"/>
        </w:rPr>
        <w:t>及建议</w:t>
      </w:r>
      <w:r>
        <w:rPr>
          <w:rFonts w:hint="eastAsia" w:ascii="楷体" w:hAnsi="楷体" w:eastAsia="楷体" w:cs="楷体"/>
          <w:b/>
          <w:bCs/>
          <w:sz w:val="32"/>
          <w:szCs w:val="32"/>
          <w:lang w:eastAsia="zh-CN"/>
        </w:rPr>
        <w:t>。</w:t>
      </w:r>
    </w:p>
    <w:p w14:paraId="725DF2B9">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rPr>
          <w:rFonts w:hint="eastAsia" w:ascii="仿宋" w:hAnsi="仿宋" w:eastAsia="仿宋" w:cs="仿宋"/>
          <w:color w:val="000000"/>
          <w:kern w:val="0"/>
          <w:sz w:val="32"/>
          <w:szCs w:val="32"/>
          <w:lang w:val="en-US" w:eastAsia="zh-CN"/>
        </w:rPr>
      </w:pPr>
      <w:r>
        <w:rPr>
          <w:rFonts w:hint="eastAsia" w:ascii="仿宋" w:hAnsi="仿宋" w:eastAsia="仿宋" w:cs="仿宋"/>
          <w:b w:val="0"/>
          <w:bCs w:val="0"/>
          <w:color w:val="000000"/>
          <w:kern w:val="0"/>
          <w:sz w:val="32"/>
          <w:szCs w:val="32"/>
          <w:lang w:val="en-US" w:eastAsia="zh-CN"/>
        </w:rPr>
        <w:t>1、</w:t>
      </w:r>
      <w:r>
        <w:rPr>
          <w:rFonts w:hint="eastAsia" w:ascii="仿宋_GB2312" w:hAnsi="仿宋_GB2312" w:eastAsia="仿宋_GB2312" w:cs="仿宋_GB2312"/>
          <w:color w:val="000000"/>
          <w:kern w:val="0"/>
          <w:sz w:val="32"/>
          <w:szCs w:val="32"/>
          <w:lang w:val="en-US" w:eastAsia="zh-CN"/>
        </w:rPr>
        <w:t>单位资金运行困难，缺口较大，公用经费支出存在不确定性，财年预算数按照上级要求是应逐年压缩，但实际费用开支浮动性较大。</w:t>
      </w:r>
    </w:p>
    <w:p w14:paraId="6A148829">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rPr>
          <w:rFonts w:hint="default" w:ascii="仿宋_GB2312" w:hAnsi="仿宋_GB2312" w:eastAsia="仿宋_GB2312" w:cs="仿宋_GB2312"/>
          <w:color w:val="000000"/>
          <w:kern w:val="0"/>
          <w:sz w:val="32"/>
          <w:szCs w:val="32"/>
          <w:lang w:val="en-US" w:eastAsia="zh-CN"/>
        </w:rPr>
      </w:pPr>
      <w:r>
        <w:rPr>
          <w:rFonts w:hint="eastAsia" w:ascii="仿宋" w:hAnsi="仿宋" w:eastAsia="仿宋" w:cs="仿宋"/>
          <w:b w:val="0"/>
          <w:bCs w:val="0"/>
          <w:color w:val="000000"/>
          <w:kern w:val="0"/>
          <w:sz w:val="32"/>
          <w:szCs w:val="32"/>
          <w:lang w:val="en-US" w:eastAsia="zh-CN"/>
        </w:rPr>
        <w:t>2、人员</w:t>
      </w:r>
      <w:r>
        <w:rPr>
          <w:rFonts w:hint="eastAsia" w:ascii="仿宋_GB2312" w:hAnsi="仿宋_GB2312" w:eastAsia="仿宋_GB2312" w:cs="仿宋_GB2312"/>
          <w:color w:val="000000"/>
          <w:kern w:val="0"/>
          <w:sz w:val="32"/>
          <w:szCs w:val="32"/>
          <w:lang w:val="en-US" w:eastAsia="zh-CN"/>
        </w:rPr>
        <w:t>编制不足，工作量大。部门承担应急和安全生产监察监管、森林防灭火、防汛抗旱、抢险救灾、安委办协调统筹等重要职责，一人多岗。</w:t>
      </w:r>
    </w:p>
    <w:p w14:paraId="563827CC">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rPr>
          <w:rFonts w:hint="default" w:ascii="仿宋_GB2312" w:hAnsi="仿宋_GB2312" w:eastAsia="仿宋_GB2312" w:cs="仿宋_GB2312"/>
          <w:b/>
          <w:bCs/>
          <w:color w:val="000000"/>
          <w:kern w:val="0"/>
          <w:sz w:val="32"/>
          <w:szCs w:val="32"/>
          <w:lang w:val="en-US" w:eastAsia="zh-CN"/>
        </w:rPr>
      </w:pPr>
      <w:r>
        <w:rPr>
          <w:rFonts w:hint="eastAsia" w:ascii="仿宋_GB2312" w:hAnsi="仿宋_GB2312" w:eastAsia="仿宋_GB2312" w:cs="仿宋_GB2312"/>
          <w:b w:val="0"/>
          <w:bCs w:val="0"/>
          <w:color w:val="000000"/>
          <w:kern w:val="0"/>
          <w:sz w:val="32"/>
          <w:szCs w:val="32"/>
          <w:lang w:val="en-US" w:eastAsia="zh-CN"/>
        </w:rPr>
        <w:t>3、行政运行经费、工会经费紧张。</w:t>
      </w:r>
    </w:p>
    <w:p w14:paraId="0AD73D51">
      <w:pPr>
        <w:keepNext w:val="0"/>
        <w:keepLines w:val="0"/>
        <w:pageBreakBefore w:val="0"/>
        <w:widowControl w:val="0"/>
        <w:kinsoku/>
        <w:wordWrap/>
        <w:overflowPunct/>
        <w:topLinePunct w:val="0"/>
        <w:bidi w:val="0"/>
        <w:snapToGrid/>
        <w:spacing w:line="560" w:lineRule="exact"/>
        <w:ind w:left="0" w:leftChars="0" w:firstLine="640" w:firstLineChars="200"/>
        <w:jc w:val="left"/>
        <w:rPr>
          <w:rFonts w:hint="default"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color w:val="000000"/>
          <w:kern w:val="0"/>
          <w:sz w:val="32"/>
          <w:szCs w:val="32"/>
          <w:lang w:val="en-US" w:eastAsia="zh-CN"/>
        </w:rPr>
        <w:t>科学、合理地编制本年预算草案，避免项目支出与基本支出划分不准或预算支出与实际执行出现较大偏差的情况。</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大标宋_GBK">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roma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92F51E"/>
    <w:multiLevelType w:val="singleLevel"/>
    <w:tmpl w:val="6A92F51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ZlNmI3YjcxYTM4YTVhYzE4YTIzM2VmZWFkYTIwZTYifQ=="/>
  </w:docVars>
  <w:rsids>
    <w:rsidRoot w:val="00000000"/>
    <w:rsid w:val="014F16EF"/>
    <w:rsid w:val="027A149C"/>
    <w:rsid w:val="04043713"/>
    <w:rsid w:val="0A2F247A"/>
    <w:rsid w:val="0DB6435D"/>
    <w:rsid w:val="1EC70DB6"/>
    <w:rsid w:val="26025181"/>
    <w:rsid w:val="29792531"/>
    <w:rsid w:val="29E27B35"/>
    <w:rsid w:val="2A5C7555"/>
    <w:rsid w:val="2D7D391C"/>
    <w:rsid w:val="37517D16"/>
    <w:rsid w:val="38166225"/>
    <w:rsid w:val="39DF22A6"/>
    <w:rsid w:val="3AC16801"/>
    <w:rsid w:val="42786A9F"/>
    <w:rsid w:val="489A18C8"/>
    <w:rsid w:val="5A225816"/>
    <w:rsid w:val="5A2468A8"/>
    <w:rsid w:val="5CAE3391"/>
    <w:rsid w:val="5E2C1D10"/>
    <w:rsid w:val="5EB37282"/>
    <w:rsid w:val="6813655C"/>
    <w:rsid w:val="6878603A"/>
    <w:rsid w:val="727342FE"/>
    <w:rsid w:val="7AEB32A3"/>
    <w:rsid w:val="7D861F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846</Words>
  <Characters>1048</Characters>
  <Lines>0</Lines>
  <Paragraphs>0</Paragraphs>
  <TotalTime>3</TotalTime>
  <ScaleCrop>false</ScaleCrop>
  <LinksUpToDate>false</LinksUpToDate>
  <CharactersWithSpaces>1053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3508</cp:lastModifiedBy>
  <dcterms:modified xsi:type="dcterms:W3CDTF">2025-09-15T09:06:21Z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0F5B5F91A61E4F889966191D23DDFDF7_13</vt:lpwstr>
  </property>
  <property fmtid="{D5CDD505-2E9C-101B-9397-08002B2CF9AE}" pid="4" name="KSOTemplateDocerSaveRecord">
    <vt:lpwstr>eyJoZGlkIjoiZmZlNmI3YjcxYTM4YTVhYzE4YTIzM2VmZWFkYTIwZTYiLCJ1c2VySWQiOiIxMTQ4MTU0MDM4In0=</vt:lpwstr>
  </property>
</Properties>
</file>